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2.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Northern Pikeminnow are estimated to consume 8% (16.4 million) of the estimated 200 million juvenile salmonids emigrating through the lower Snake and Columbia rivers, annually</w:t>
      </w:r>
      <w:r>
        <w:t xml:space="preserve"> </w:t>
      </w:r>
      <w:r>
        <w:t xml:space="preserve">(Beamesderfer et al. 1996)</w:t>
      </w:r>
      <w:r>
        <w:t xml:space="preserve">. Dams and reservoirs in the Columbia River are associated with high rates of predation on salmonids</w:t>
      </w:r>
      <w:r>
        <w:t xml:space="preserve"> </w:t>
      </w:r>
      <w:r>
        <w:t xml:space="preserve">(Petersen 1994; Ward et al. 1995)</w:t>
      </w:r>
      <w:r>
        <w:t xml:space="preserve">. Because migration rates of juvenile Chinook Salmon are reduced during reservoir passage</w:t>
      </w:r>
      <w:r>
        <w:t xml:space="preserve"> </w:t>
      </w:r>
      <w:r>
        <w:t xml:space="preserve">(Venditti et al. 2000)</w:t>
      </w:r>
      <w:r>
        <w:t xml:space="preserve">, migrating smolts may become more vulnerable to predation in areas with slower velocities. Most of the research has been targeted around dams and reservoirs, but there are areas functioning similar to a reservoir in the ruvers upstream. One of these areas is the Deadwater Slough in the Salmon River. The Deadwater Slough is a 25.3-acre area that is unnaturally slow and deep within the Salmon River and resembles a small reservoir (Figure</w:t>
      </w:r>
      <w:r>
        <w:t xml:space="preserve"> </w:t>
      </w:r>
      <w:r>
        <w:t xml:space="preserve">1</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0"/>
    <w:bookmarkStart w:id="31" w:name="impacts-to-adult-returns-1"/>
    <w:p>
      <w:pPr>
        <w:pStyle w:val="Heading2"/>
      </w:pPr>
      <w:r>
        <w:t xml:space="preserve">Impacts to Adult Returns</w:t>
      </w:r>
    </w:p>
    <w:p>
      <w:pPr>
        <w:numPr>
          <w:ilvl w:val="0"/>
          <w:numId w:val="100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emply, 345 (21.6%) had stomach contents, and 35 (2.2%) contained fish remnants. We were able to identify juvenile Red Shiners, a Largescale Sucker, Sculpin, Mountain Whitefish, and one Chinook Salmon within stomach contents, but most samples were too digested to identify to species.</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07"/>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7"/>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6" w:name="literature-cited"/>
    <w:p>
      <w:pPr>
        <w:pStyle w:val="Heading1"/>
      </w:pPr>
      <w:r>
        <w:t xml:space="preserve">Literature Cited</w:t>
      </w:r>
    </w:p>
    <w:bookmarkStart w:id="65"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4"/>
    <w:bookmarkStart w:id="55"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5"/>
    <w:bookmarkStart w:id="56" w:name="ref-Moss2016"/>
    <w:p>
      <w:pPr>
        <w:pStyle w:val="Bibliography"/>
      </w:pPr>
      <w:r>
        <w:t xml:space="preserve">Moss, J. H., J. M. Murphy, E. A. Fergusson, and R. A. Heintz. 2016. Allometric</w:t>
      </w:r>
      <w:r>
        <w:t xml:space="preserve"> </w:t>
      </w:r>
      <w:r>
        <w:t xml:space="preserve">Relationships</w:t>
      </w:r>
      <w:r>
        <w:t xml:space="preserve"> </w:t>
      </w:r>
      <w:r>
        <w:t xml:space="preserve">between</w:t>
      </w:r>
      <w:r>
        <w:t xml:space="preserve"> </w:t>
      </w:r>
      <w:r>
        <w:t xml:space="preserve">Body Size</w:t>
      </w:r>
      <w:r>
        <w:t xml:space="preserve"> </w:t>
      </w:r>
      <w:r>
        <w:t xml:space="preserve">and</w:t>
      </w:r>
      <w:r>
        <w:t xml:space="preserve"> </w:t>
      </w:r>
      <w:r>
        <w:t xml:space="preserve">Energy Density</w:t>
      </w:r>
      <w:r>
        <w:t xml:space="preserve"> </w:t>
      </w:r>
      <w:r>
        <w:t xml:space="preserve">of</w:t>
      </w:r>
      <w:r>
        <w:t xml:space="preserve"> </w:t>
      </w:r>
      <w:r>
        <w:t xml:space="preserve">Juvenile 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w:t>
      </w:r>
      <w:r>
        <w:t xml:space="preserve"> </w:t>
      </w:r>
      <w:r>
        <w:t xml:space="preserve">Chum</w:t>
      </w:r>
      <w:r>
        <w:t xml:space="preserve"> </w:t>
      </w:r>
      <w:r>
        <w:t xml:space="preserve">(</w:t>
      </w:r>
      <w:r>
        <w:t xml:space="preserve"> </w:t>
      </w:r>
      <w:r>
        <w:t xml:space="preserve"> </w:t>
      </w:r>
      <w:r>
        <w:rPr>
          <w:iCs/>
          <w:i/>
        </w:rPr>
        <w:t xml:space="preserve">O</w:t>
      </w:r>
      <w:r>
        <w:rPr>
          <w:iCs/>
          <w:i/>
        </w:rPr>
        <w:t xml:space="preserve">. Keta</w:t>
      </w:r>
      <w:r>
        <w:t xml:space="preserve"> </w:t>
      </w:r>
      <w:r>
        <w:t xml:space="preserve">)</w:t>
      </w:r>
      <w:r>
        <w:t xml:space="preserve"> </w:t>
      </w:r>
      <w:r>
        <w:t xml:space="preserve">Salmon</w:t>
      </w:r>
      <w:r>
        <w:t xml:space="preserve"> </w:t>
      </w:r>
      <w:r>
        <w:t xml:space="preserve">across a</w:t>
      </w:r>
      <w:r>
        <w:t xml:space="preserve"> </w:t>
      </w:r>
      <w:r>
        <w:t xml:space="preserve">Latitudinal Gradient</w:t>
      </w:r>
      <w:r>
        <w:t xml:space="preserve">. North Pacific Anadromous Fish Commission Bulletin No. 6:161–168.</w:t>
      </w:r>
    </w:p>
    <w:bookmarkEnd w:id="56"/>
    <w:bookmarkStart w:id="57"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7"/>
    <w:bookmarkStart w:id="58"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8"/>
    <w:bookmarkStart w:id="59"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59"/>
    <w:bookmarkStart w:id="60"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0"/>
    <w:bookmarkStart w:id="6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1"/>
    <w:bookmarkStart w:id="62"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2"/>
    <w:bookmarkStart w:id="63"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3"/>
    <w:bookmarkStart w:id="64"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4"/>
    <w:bookmarkEnd w:id="65"/>
    <w:p>
      <w:r>
        <w:br w:type="page"/>
      </w:r>
    </w:p>
    <w:bookmarkEnd w:id="66"/>
    <w:bookmarkStart w:id="68" w:name="tables"/>
    <w:p>
      <w:pPr>
        <w:pStyle w:val="Heading1"/>
      </w:pPr>
      <w:r>
        <w:t xml:space="preserve">Tables</w:t>
      </w:r>
    </w:p>
    <w:bookmarkStart w:id="67" w:name="tables"/>
    <w:bookmarkEnd w:id="67"/>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68"/>
    <w:bookmarkStart w:id="74" w:name="figures"/>
    <w:p>
      <w:pPr>
        <w:pStyle w:val="Heading1"/>
      </w:pPr>
      <w:r>
        <w:t xml:space="preserve">Figures</w:t>
      </w:r>
    </w:p>
    <w:bookmarkStart w:id="69" w:name="figures"/>
    <w:bookmarkEnd w:id="6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bookmarkStart w:id="73" w:name="colophon"/>
    <w:p>
      <w:pPr>
        <w:pStyle w:val="Heading3"/>
      </w:pPr>
      <w:r>
        <w:t xml:space="preserve">Colophon</w:t>
      </w:r>
    </w:p>
    <w:p>
      <w:pPr>
        <w:pStyle w:val="FirstParagraph"/>
      </w:pPr>
      <w:r>
        <w:t xml:space="preserve">This report was generated on 2021-11-19 13:33:26 using the following computational environment and dependencies:</w:t>
      </w:r>
    </w:p>
    <w:p>
      <w:pPr>
        <w:pStyle w:val="SourceCode"/>
      </w:pPr>
      <w:r>
        <w:rPr>
          <w:rStyle w:val="VerbatimChar"/>
        </w:rPr>
        <w:t xml:space="preserve">#&gt; - Session info  --------------------------------------------------------------</w:t>
      </w:r>
      <w:r>
        <w:br/>
      </w:r>
      <w:r>
        <w:rPr>
          <w:rStyle w:val="VerbatimChar"/>
        </w:rPr>
        <w:t xml:space="preserve">#&gt;  hash: person gesturing OK: light skin tone, scroll, flag: St. Lucia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[73cd0fe] 2021-11-19: edits to Predation on Juvenile Chinook Salmon methods</w:t>
      </w:r>
    </w:p>
    <w:bookmarkEnd w:id="73"/>
    <w:bookmarkEnd w:id="7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2021-11-19T20:33:28Z</dcterms:created>
  <dcterms:modified xsi:type="dcterms:W3CDTF">2021-11-19T20:33:28Z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19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